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6C78" w14:textId="6AEA215C" w:rsidR="00347986" w:rsidRPr="000872F9" w:rsidRDefault="000872F9">
      <w:pPr>
        <w:rPr>
          <w:b/>
          <w:bCs/>
          <w:sz w:val="40"/>
          <w:szCs w:val="40"/>
        </w:rPr>
      </w:pPr>
      <w:r w:rsidRPr="000872F9">
        <w:rPr>
          <w:b/>
          <w:bCs/>
          <w:sz w:val="40"/>
          <w:szCs w:val="40"/>
        </w:rPr>
        <w:t>Agrarheute  16.01.2026</w:t>
      </w:r>
    </w:p>
    <w:p w14:paraId="6F0EBD5D" w14:textId="77777777" w:rsidR="000872F9" w:rsidRDefault="000872F9"/>
    <w:p w14:paraId="08C7F7FC" w14:textId="51A9212D" w:rsidR="000872F9" w:rsidRPr="000872F9" w:rsidRDefault="000872F9" w:rsidP="000872F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0872F9">
        <w:rPr>
          <w:rFonts w:ascii="Times New Roman" w:eastAsia="Times New Roman" w:hAnsi="Times New Roman" w:cs="Times New Roman"/>
          <w:b/>
          <w:bCs/>
          <w:kern w:val="36"/>
          <w:sz w:val="48"/>
          <w:szCs w:val="48"/>
          <w:lang w:eastAsia="de-DE"/>
          <w14:ligatures w14:val="none"/>
        </w:rPr>
        <w:t xml:space="preserve">Gemischte Bilanz bei Nordzucker: gute Rübenernte, aber schlechte Preise </w:t>
      </w:r>
    </w:p>
    <w:p w14:paraId="67BEAA72"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b/>
          <w:bCs/>
          <w:kern w:val="0"/>
          <w:sz w:val="24"/>
          <w:szCs w:val="24"/>
          <w:lang w:eastAsia="de-DE"/>
          <w14:ligatures w14:val="none"/>
        </w:rPr>
        <w:t xml:space="preserve">Hohe Erträge, gute Zuckerwerte, aber sinkende Preise: Trotz einer erfolgreichen Rübenkampagne blickt Nordzucker auf ein herausforderndes Jahr zurück. Einsparmaßnahmen und eine steigende Effizienz sollen die Zukunft sichern. Gelingt Nordzucker die Trendwende? </w:t>
      </w:r>
    </w:p>
    <w:p w14:paraId="189DD4EC"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 xml:space="preserve">Nordzucker zieht eine positive Bilanz der Rübenkampagne 2025/26. Diese verlief, wie das Unternehmen meldete, mit einer stabilen Verarbeitung und überdurchschnittlichen Rübenerträgen. </w:t>
      </w:r>
      <w:r w:rsidRPr="000872F9">
        <w:rPr>
          <w:rFonts w:ascii="Times New Roman" w:eastAsia="Times New Roman" w:hAnsi="Times New Roman" w:cs="Times New Roman"/>
          <w:b/>
          <w:bCs/>
          <w:kern w:val="0"/>
          <w:sz w:val="24"/>
          <w:szCs w:val="24"/>
          <w:lang w:eastAsia="de-DE"/>
          <w14:ligatures w14:val="none"/>
        </w:rPr>
        <w:t xml:space="preserve">Die Erntebedingungen waren während der gesamten Kampagnendauer insgesamt gut. </w:t>
      </w:r>
      <w:r w:rsidRPr="000872F9">
        <w:rPr>
          <w:rFonts w:ascii="Times New Roman" w:eastAsia="Times New Roman" w:hAnsi="Times New Roman" w:cs="Times New Roman"/>
          <w:kern w:val="0"/>
          <w:sz w:val="24"/>
          <w:szCs w:val="24"/>
          <w:lang w:eastAsia="de-DE"/>
          <w14:ligatures w14:val="none"/>
        </w:rPr>
        <w:t>Rübenkrankheiten und auch der sich weiter ausbreitende SBR-Komplex hatten regional begrenzt, aber insgesamt keine außergewöhnlichen Auswirkungen auf Rübenerträge und -qualitäten.</w:t>
      </w:r>
    </w:p>
    <w:p w14:paraId="79FE1EB9" w14:textId="77777777" w:rsidR="000872F9" w:rsidRPr="000872F9" w:rsidRDefault="000872F9" w:rsidP="000872F9">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bookmarkStart w:id="0" w:name="social_media"/>
      <w:bookmarkEnd w:id="0"/>
      <w:r w:rsidRPr="000872F9">
        <w:rPr>
          <w:rFonts w:ascii="Times New Roman" w:eastAsia="Times New Roman" w:hAnsi="Times New Roman" w:cs="Times New Roman"/>
          <w:b/>
          <w:bCs/>
          <w:kern w:val="0"/>
          <w:sz w:val="36"/>
          <w:szCs w:val="36"/>
          <w:lang w:eastAsia="de-DE"/>
          <w14:ligatures w14:val="none"/>
        </w:rPr>
        <w:t xml:space="preserve">Rekordausbeute bei Mengen und Zuckergehalt </w:t>
      </w:r>
    </w:p>
    <w:p w14:paraId="24ED99DE"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Der Zuckergehalt der Rüben lag durchgehend über dem fünfjährigen Durchschnitt, variierte allerdings regional stark mit Werten von unter 16 bis über 18 Prozent.</w:t>
      </w:r>
      <w:r w:rsidRPr="000872F9">
        <w:rPr>
          <w:rFonts w:ascii="Times New Roman" w:eastAsia="Times New Roman" w:hAnsi="Times New Roman" w:cs="Times New Roman"/>
          <w:b/>
          <w:bCs/>
          <w:kern w:val="0"/>
          <w:sz w:val="24"/>
          <w:szCs w:val="24"/>
          <w:lang w:eastAsia="de-DE"/>
          <w14:ligatures w14:val="none"/>
        </w:rPr>
        <w:t xml:space="preserve"> Es konnte eine gesteigerte Zuckermenge produziert werden. </w:t>
      </w:r>
      <w:r w:rsidRPr="000872F9">
        <w:rPr>
          <w:rFonts w:ascii="Times New Roman" w:eastAsia="Times New Roman" w:hAnsi="Times New Roman" w:cs="Times New Roman"/>
          <w:kern w:val="0"/>
          <w:sz w:val="24"/>
          <w:szCs w:val="24"/>
          <w:lang w:eastAsia="de-DE"/>
          <w14:ligatures w14:val="none"/>
        </w:rPr>
        <w:t>Dank der günstigen Witterungsverhältnisse bis Ende 2025 verliefen Lagerung und Transport weitgehend reibungslos. Erst zum Kampagnenende im Januar erschwerten Glätte und Schnee die Rübenlogistik. </w:t>
      </w:r>
    </w:p>
    <w:p w14:paraId="4A349A76"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Auch die Crush, die Ernte und Verarbeitung von Zuckerrohr, in Australien wurde im Dezember erfolgreich abgeschlossen. Die Nordzucker-Tochter Mackay Sugar verarbeitete insgesamt 4,8 Mio. Tonnen Zuckerrohr.</w:t>
      </w:r>
    </w:p>
    <w:p w14:paraId="49718177" w14:textId="77777777" w:rsidR="000872F9" w:rsidRDefault="000872F9"/>
    <w:p w14:paraId="36A1B632" w14:textId="77777777" w:rsidR="000872F9" w:rsidRDefault="000872F9"/>
    <w:p w14:paraId="7D7EA792" w14:textId="77777777" w:rsidR="000872F9" w:rsidRPr="000872F9" w:rsidRDefault="000872F9" w:rsidP="000872F9">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0872F9">
        <w:rPr>
          <w:rFonts w:ascii="Times New Roman" w:eastAsia="Times New Roman" w:hAnsi="Times New Roman" w:cs="Times New Roman"/>
          <w:b/>
          <w:bCs/>
          <w:kern w:val="0"/>
          <w:sz w:val="36"/>
          <w:szCs w:val="36"/>
          <w:lang w:eastAsia="de-DE"/>
          <w14:ligatures w14:val="none"/>
        </w:rPr>
        <w:t xml:space="preserve">Unternehmen kommt Klimazielen näher </w:t>
      </w:r>
    </w:p>
    <w:p w14:paraId="7EEF88CB"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 xml:space="preserve">In den vergangenen zehn Jahren konnte Nordzucker die unternehmenseigenen Energiekennzahlen verbessern und den CO2-Ausstoß deutlich reduzieren. Im Rahmen des unternehmensweiten </w:t>
      </w:r>
      <w:proofErr w:type="spellStart"/>
      <w:r w:rsidRPr="000872F9">
        <w:rPr>
          <w:rFonts w:ascii="Times New Roman" w:eastAsia="Times New Roman" w:hAnsi="Times New Roman" w:cs="Times New Roman"/>
          <w:kern w:val="0"/>
          <w:sz w:val="24"/>
          <w:szCs w:val="24"/>
          <w:lang w:eastAsia="de-DE"/>
          <w14:ligatures w14:val="none"/>
        </w:rPr>
        <w:t>GoGreen</w:t>
      </w:r>
      <w:proofErr w:type="spellEnd"/>
      <w:r w:rsidRPr="000872F9">
        <w:rPr>
          <w:rFonts w:ascii="Times New Roman" w:eastAsia="Times New Roman" w:hAnsi="Times New Roman" w:cs="Times New Roman"/>
          <w:kern w:val="0"/>
          <w:sz w:val="24"/>
          <w:szCs w:val="24"/>
          <w:lang w:eastAsia="de-DE"/>
          <w14:ligatures w14:val="none"/>
        </w:rPr>
        <w:t>-Programms hatte Nordzucker in verschiedene Maßnahmen investiert und machte im Zuge dessen einzelne Prozessschritte energieeffizient. </w:t>
      </w:r>
    </w:p>
    <w:p w14:paraId="465FBE38"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b/>
          <w:bCs/>
          <w:kern w:val="0"/>
          <w:sz w:val="24"/>
          <w:szCs w:val="24"/>
          <w:lang w:eastAsia="de-DE"/>
          <w14:ligatures w14:val="none"/>
        </w:rPr>
        <w:t>Außerdem konnte Biogas aus den eigenen Rübenschnitzeln nutzen oder gezielt Energie aus Dampf zurückgewinnen.</w:t>
      </w:r>
      <w:r w:rsidRPr="000872F9">
        <w:rPr>
          <w:rFonts w:ascii="Times New Roman" w:eastAsia="Times New Roman" w:hAnsi="Times New Roman" w:cs="Times New Roman"/>
          <w:kern w:val="0"/>
          <w:sz w:val="24"/>
          <w:szCs w:val="24"/>
          <w:lang w:eastAsia="de-DE"/>
          <w14:ligatures w14:val="none"/>
        </w:rPr>
        <w:t xml:space="preserve"> „Die konsequenten Investitionen über die letzten Jahre in Energieeffizienz machen sich jetzt in der Praxis deutlich bemerkbar“, betont Alexander Godow, Chief Operating Officer. „Wir sind damit auf einem hervorragenden Weg, unsere gesetzten Ziele zur CO2-Reduktion bis 2030 zu erreichen und zugleich die operative Leistungsfähigkeit zu steigern.“</w:t>
      </w:r>
    </w:p>
    <w:p w14:paraId="62114887" w14:textId="77777777" w:rsidR="000872F9" w:rsidRPr="000872F9" w:rsidRDefault="000872F9" w:rsidP="000872F9">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0872F9">
        <w:rPr>
          <w:rFonts w:ascii="Times New Roman" w:eastAsia="Times New Roman" w:hAnsi="Times New Roman" w:cs="Times New Roman"/>
          <w:b/>
          <w:bCs/>
          <w:kern w:val="0"/>
          <w:sz w:val="36"/>
          <w:szCs w:val="36"/>
          <w:lang w:eastAsia="de-DE"/>
          <w14:ligatures w14:val="none"/>
        </w:rPr>
        <w:lastRenderedPageBreak/>
        <w:t xml:space="preserve">Nordzucker kämpft mit Preisverfall </w:t>
      </w:r>
    </w:p>
    <w:p w14:paraId="4C18493F"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 xml:space="preserve">Trotz der erfolgreichen Rübenkampagne steht Nordzucker unter Druck. </w:t>
      </w:r>
      <w:r w:rsidRPr="000872F9">
        <w:rPr>
          <w:rFonts w:ascii="Times New Roman" w:eastAsia="Times New Roman" w:hAnsi="Times New Roman" w:cs="Times New Roman"/>
          <w:b/>
          <w:bCs/>
          <w:kern w:val="0"/>
          <w:sz w:val="24"/>
          <w:szCs w:val="24"/>
          <w:lang w:eastAsia="de-DE"/>
          <w14:ligatures w14:val="none"/>
        </w:rPr>
        <w:t>Seit Mai 2025 sind die Weltmarktpreise für Zucker deutlich gefallen und befinden sich auf den niedrigsten Stand seit 2021.</w:t>
      </w:r>
      <w:r w:rsidRPr="000872F9">
        <w:rPr>
          <w:rFonts w:ascii="Times New Roman" w:eastAsia="Times New Roman" w:hAnsi="Times New Roman" w:cs="Times New Roman"/>
          <w:kern w:val="0"/>
          <w:sz w:val="24"/>
          <w:szCs w:val="24"/>
          <w:lang w:eastAsia="de-DE"/>
          <w14:ligatures w14:val="none"/>
        </w:rPr>
        <w:t xml:space="preserve"> Hohe Ernteerträge in Brasilien, Indien und der EU sowie Unsicherheiten aufgrund von Zöllen und Wechselkursschwankungen verstärken den Preisdruck im EU-Zuckermarkt. </w:t>
      </w:r>
    </w:p>
    <w:p w14:paraId="5ABEC66F"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Darüber hinaus sei ein Konsumrückgang zu beobachten, der den Zuckerabsatz reduziere, so Godow. Seit Monaten prägten große verfügbare Mengen den Markt und er erwarte vorerst keine substanzielle Preiserholung auf den Märkten.</w:t>
      </w:r>
    </w:p>
    <w:p w14:paraId="63CF7447" w14:textId="77777777" w:rsidR="000872F9" w:rsidRPr="000872F9" w:rsidRDefault="000872F9" w:rsidP="000872F9">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0872F9">
        <w:rPr>
          <w:rFonts w:ascii="Times New Roman" w:eastAsia="Times New Roman" w:hAnsi="Times New Roman" w:cs="Times New Roman"/>
          <w:b/>
          <w:bCs/>
          <w:kern w:val="0"/>
          <w:sz w:val="36"/>
          <w:szCs w:val="36"/>
          <w:lang w:eastAsia="de-DE"/>
          <w14:ligatures w14:val="none"/>
        </w:rPr>
        <w:t xml:space="preserve">Auch für kommendes Geschäftsjahr Verluste in Sicht </w:t>
      </w:r>
    </w:p>
    <w:p w14:paraId="28ACAD79"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 xml:space="preserve">Vor dem Hintergrund dieser Marktbedingungen rechnet Nordzucker im laufenden Geschäftsjahr mit einem operativen Verlust im hohen zweistelligen Millionenbereich. Da sind deutlich schlechtere Ergebnisse als erwartet. </w:t>
      </w:r>
      <w:r w:rsidRPr="000872F9">
        <w:rPr>
          <w:rFonts w:ascii="Times New Roman" w:eastAsia="Times New Roman" w:hAnsi="Times New Roman" w:cs="Times New Roman"/>
          <w:b/>
          <w:bCs/>
          <w:kern w:val="0"/>
          <w:sz w:val="24"/>
          <w:szCs w:val="24"/>
          <w:lang w:eastAsia="de-DE"/>
          <w14:ligatures w14:val="none"/>
        </w:rPr>
        <w:t>Bereits Anfang 2025 hatte Nordzucker verschiedene Maßnahmen gestartet, um die Kosten zu optimieren.</w:t>
      </w:r>
      <w:r w:rsidRPr="000872F9">
        <w:rPr>
          <w:rFonts w:ascii="Times New Roman" w:eastAsia="Times New Roman" w:hAnsi="Times New Roman" w:cs="Times New Roman"/>
          <w:kern w:val="0"/>
          <w:sz w:val="24"/>
          <w:szCs w:val="24"/>
          <w:lang w:eastAsia="de-DE"/>
          <w14:ligatures w14:val="none"/>
        </w:rPr>
        <w:t xml:space="preserve"> Diese werden 2026 noch ausgeweitet. </w:t>
      </w:r>
    </w:p>
    <w:p w14:paraId="0387C118" w14:textId="77777777" w:rsidR="000872F9" w:rsidRPr="000872F9" w:rsidRDefault="000872F9" w:rsidP="000872F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872F9">
        <w:rPr>
          <w:rFonts w:ascii="Times New Roman" w:eastAsia="Times New Roman" w:hAnsi="Times New Roman" w:cs="Times New Roman"/>
          <w:kern w:val="0"/>
          <w:sz w:val="24"/>
          <w:szCs w:val="24"/>
          <w:lang w:eastAsia="de-DE"/>
          <w14:ligatures w14:val="none"/>
        </w:rPr>
        <w:t>Dank einer hohen Eigenkapitalquote sei Nordzucker solide finanziert und bleibe auch in einem herausfordernden Umfeld ein verlässlicher Partner für Rübenanbauer und Kunden, betonte Godow. Der Konzern rechnet auch für das kommende Geschäftsjahr 2026/27 aktuell mit einem Verlust. „Unser Ziel ist es, aus eigener Kraft im Geschäftsjahr 2027/28 wieder profitabel zu werden – auch bei niedrigen Absatzpreisen“, so CFO Alexander Bott</w:t>
      </w:r>
    </w:p>
    <w:p w14:paraId="0A46C57C" w14:textId="77777777" w:rsidR="000872F9" w:rsidRDefault="000872F9"/>
    <w:sectPr w:rsidR="000872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F9"/>
    <w:rsid w:val="000872F9"/>
    <w:rsid w:val="00347986"/>
    <w:rsid w:val="00842F0C"/>
    <w:rsid w:val="00EA6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5202"/>
  <w15:chartTrackingRefBased/>
  <w15:docId w15:val="{81382CE3-3CE2-471F-B666-51D5349A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8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872F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872F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872F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872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72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72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72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2F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872F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872F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872F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872F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872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72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72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72F9"/>
    <w:rPr>
      <w:rFonts w:eastAsiaTheme="majorEastAsia" w:cstheme="majorBidi"/>
      <w:color w:val="272727" w:themeColor="text1" w:themeTint="D8"/>
    </w:rPr>
  </w:style>
  <w:style w:type="paragraph" w:styleId="Titel">
    <w:name w:val="Title"/>
    <w:basedOn w:val="Standard"/>
    <w:next w:val="Standard"/>
    <w:link w:val="TitelZchn"/>
    <w:uiPriority w:val="10"/>
    <w:qFormat/>
    <w:rsid w:val="0008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72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72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72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72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72F9"/>
    <w:rPr>
      <w:i/>
      <w:iCs/>
      <w:color w:val="404040" w:themeColor="text1" w:themeTint="BF"/>
    </w:rPr>
  </w:style>
  <w:style w:type="paragraph" w:styleId="Listenabsatz">
    <w:name w:val="List Paragraph"/>
    <w:basedOn w:val="Standard"/>
    <w:uiPriority w:val="34"/>
    <w:qFormat/>
    <w:rsid w:val="000872F9"/>
    <w:pPr>
      <w:ind w:left="720"/>
      <w:contextualSpacing/>
    </w:pPr>
  </w:style>
  <w:style w:type="character" w:styleId="IntensiveHervorhebung">
    <w:name w:val="Intense Emphasis"/>
    <w:basedOn w:val="Absatz-Standardschriftart"/>
    <w:uiPriority w:val="21"/>
    <w:qFormat/>
    <w:rsid w:val="000872F9"/>
    <w:rPr>
      <w:i/>
      <w:iCs/>
      <w:color w:val="2F5496" w:themeColor="accent1" w:themeShade="BF"/>
    </w:rPr>
  </w:style>
  <w:style w:type="paragraph" w:styleId="IntensivesZitat">
    <w:name w:val="Intense Quote"/>
    <w:basedOn w:val="Standard"/>
    <w:next w:val="Standard"/>
    <w:link w:val="IntensivesZitatZchn"/>
    <w:uiPriority w:val="30"/>
    <w:qFormat/>
    <w:rsid w:val="0008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872F9"/>
    <w:rPr>
      <w:i/>
      <w:iCs/>
      <w:color w:val="2F5496" w:themeColor="accent1" w:themeShade="BF"/>
    </w:rPr>
  </w:style>
  <w:style w:type="character" w:styleId="IntensiverVerweis">
    <w:name w:val="Intense Reference"/>
    <w:basedOn w:val="Absatz-Standardschriftart"/>
    <w:uiPriority w:val="32"/>
    <w:qFormat/>
    <w:rsid w:val="00087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3211</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1</cp:revision>
  <dcterms:created xsi:type="dcterms:W3CDTF">2026-01-30T12:02:00Z</dcterms:created>
  <dcterms:modified xsi:type="dcterms:W3CDTF">2026-01-30T12:05:00Z</dcterms:modified>
</cp:coreProperties>
</file>